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3B7" w:rsidRDefault="00F343B7" w:rsidP="00F343B7">
      <w:pPr>
        <w:jc w:val="right"/>
        <w:rPr>
          <w:sz w:val="24"/>
          <w:szCs w:val="24"/>
        </w:rPr>
      </w:pPr>
      <w:bookmarkStart w:id="0" w:name="_GoBack"/>
      <w:bookmarkEnd w:id="0"/>
      <w:r>
        <w:t>Додаток № 17</w:t>
      </w:r>
    </w:p>
    <w:p w:rsidR="00F343B7" w:rsidRDefault="00F343B7" w:rsidP="00F343B7">
      <w:pPr>
        <w:jc w:val="right"/>
      </w:pPr>
      <w:r>
        <w:t>до наказу від 30.12.2016 № 17</w:t>
      </w:r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</w:p>
    <w:p w:rsidR="00FE1C03" w:rsidRPr="004E7774" w:rsidRDefault="00FE1C03" w:rsidP="00FE1C03">
      <w:pPr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 xml:space="preserve"> ІНФОРМАЦІЙНА КАРТКА </w:t>
      </w:r>
    </w:p>
    <w:p w:rsidR="00267B8D" w:rsidRDefault="00FE1C03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4E7774">
        <w:rPr>
          <w:b/>
          <w:sz w:val="26"/>
          <w:szCs w:val="26"/>
          <w:lang w:eastAsia="uk-UA"/>
        </w:rPr>
        <w:t>адміністративної послуги з</w:t>
      </w:r>
      <w:r w:rsidR="00267B8D" w:rsidRPr="004E7774">
        <w:rPr>
          <w:b/>
          <w:sz w:val="26"/>
          <w:szCs w:val="26"/>
          <w:lang w:eastAsia="uk-UA"/>
        </w:rPr>
        <w:t xml:space="preserve"> державної реєстрації припинення юридичної особи в результаті її реорганізації (крім громадського формування)</w:t>
      </w:r>
    </w:p>
    <w:p w:rsidR="00EA74EB" w:rsidRPr="004E7774" w:rsidRDefault="00EA74EB" w:rsidP="00FE1C03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</w:p>
    <w:p w:rsidR="003336C9" w:rsidRDefault="003336C9" w:rsidP="003336C9">
      <w:pPr>
        <w:jc w:val="center"/>
        <w:rPr>
          <w:lang w:eastAsia="uk-UA"/>
        </w:rPr>
      </w:pPr>
      <w:bookmarkStart w:id="1" w:name="n13"/>
      <w:bookmarkEnd w:id="1"/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F03E60" w:rsidRPr="004E7774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122"/>
        <w:gridCol w:w="6456"/>
      </w:tblGrid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5792" w:rsidRPr="00F15792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F15792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E7774" w:rsidRDefault="00F15792" w:rsidP="00F1579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15792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BA17E0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09.00 до 18.15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17.00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 обідня перерва з 13.00 до 14.00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субота,неділя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</w:t>
            </w:r>
            <w:r w:rsidR="00EA74EB">
              <w:rPr>
                <w:color w:val="000000"/>
                <w:sz w:val="24"/>
                <w:szCs w:val="24"/>
                <w:lang w:eastAsia="uk-UA"/>
              </w:rPr>
              <w:t xml:space="preserve"> -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”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09.00 до 16.00</w:t>
            </w:r>
          </w:p>
          <w:p w:rsidR="00A942EE" w:rsidRDefault="00A942EE" w:rsidP="00A942EE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Без обідньої перерви</w:t>
            </w:r>
          </w:p>
          <w:p w:rsidR="004E7774" w:rsidRPr="004E7774" w:rsidRDefault="004E7774" w:rsidP="004E777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7774" w:rsidRPr="004E7774" w:rsidRDefault="004E7774" w:rsidP="004E7774">
            <w:pPr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24593" w:rsidRDefault="00924593" w:rsidP="00924593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4E7774" w:rsidRPr="004E7774" w:rsidRDefault="00924593" w:rsidP="00924593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t_grinchuk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 xml:space="preserve">@ </w:t>
            </w: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rada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khmelnytsky.com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</w:t>
            </w:r>
            <w:r w:rsidR="00FE1C03" w:rsidRPr="004E7774">
              <w:rPr>
                <w:sz w:val="24"/>
                <w:szCs w:val="24"/>
                <w:lang w:eastAsia="uk-UA"/>
              </w:rPr>
              <w:t xml:space="preserve"> та громадських формувань» 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Наказ Міністерства юстиції України від 06.01.2016</w:t>
            </w:r>
            <w:r w:rsidRPr="004E7774">
              <w:rPr>
                <w:sz w:val="24"/>
                <w:szCs w:val="24"/>
                <w:lang w:eastAsia="uk-UA"/>
              </w:rPr>
              <w:br/>
              <w:t xml:space="preserve">№ 15/5 «Про затвердження форм заяв у сфері державної реєстрації юридичних осіб, фізичних осіб – підприємців та громадських формувань», зареєстрований </w:t>
            </w:r>
            <w:r w:rsidR="00FE1C03" w:rsidRPr="004E7774">
              <w:rPr>
                <w:sz w:val="24"/>
                <w:szCs w:val="24"/>
                <w:lang w:eastAsia="uk-UA"/>
              </w:rPr>
              <w:t>у</w:t>
            </w:r>
            <w:r w:rsidRPr="004E7774">
              <w:rPr>
                <w:sz w:val="24"/>
                <w:szCs w:val="24"/>
                <w:lang w:eastAsia="uk-UA"/>
              </w:rPr>
              <w:t xml:space="preserve"> Міністерстві юстиції України 06.01.2016 за № 14/28144</w:t>
            </w:r>
            <w:r w:rsidR="00FE1C03" w:rsidRPr="004E7774">
              <w:rPr>
                <w:sz w:val="24"/>
                <w:szCs w:val="24"/>
                <w:lang w:eastAsia="uk-UA"/>
              </w:rPr>
              <w:t>;</w:t>
            </w:r>
          </w:p>
          <w:p w:rsidR="00B85F8B" w:rsidRPr="004E7774" w:rsidRDefault="00FE1C03" w:rsidP="00B85F8B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4E7774" w:rsidRPr="004E7774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E7774">
              <w:rPr>
                <w:sz w:val="24"/>
                <w:szCs w:val="24"/>
                <w:lang w:eastAsia="uk-UA"/>
              </w:rPr>
              <w:t>№ 359/5</w:t>
            </w:r>
            <w:r w:rsidR="00267B8D" w:rsidRPr="004E7774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E7774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B85F8B" w:rsidRPr="004E7774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E7774" w:rsidRDefault="00FE1C03" w:rsidP="008A73C9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</w:t>
            </w:r>
            <w:r w:rsidR="00F03E60" w:rsidRPr="004E7774">
              <w:rPr>
                <w:sz w:val="24"/>
                <w:szCs w:val="24"/>
                <w:lang w:eastAsia="uk-UA"/>
              </w:rPr>
              <w:t xml:space="preserve">аказ Міністерства юстиції України від 23.03.2016 </w:t>
            </w:r>
            <w:r w:rsidR="00F03E60" w:rsidRPr="004E7774">
              <w:rPr>
                <w:sz w:val="24"/>
                <w:szCs w:val="24"/>
                <w:lang w:eastAsia="uk-UA"/>
              </w:rPr>
              <w:br/>
              <w:t>№ 784/5 «Про затвердження Порядку функціонування порталу електронних сервісів юридичних осіб, фізичних</w:t>
            </w:r>
            <w:r w:rsidR="008A73C9">
              <w:rPr>
                <w:sz w:val="24"/>
                <w:szCs w:val="24"/>
                <w:lang w:eastAsia="uk-UA"/>
              </w:rPr>
              <w:br/>
            </w:r>
            <w:r w:rsidR="00F03E60" w:rsidRPr="004E7774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E7774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E7774" w:rsidRPr="004E7774" w:rsidTr="004E777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E7774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67B8D" w:rsidRPr="004E7774" w:rsidRDefault="00267B8D" w:rsidP="001A70A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Звернення  голови </w:t>
            </w:r>
            <w:r w:rsidRPr="004E7774">
              <w:rPr>
                <w:sz w:val="24"/>
                <w:szCs w:val="24"/>
                <w:lang w:eastAsia="uk-UA"/>
              </w:rPr>
              <w:t>комісії з припинення</w:t>
            </w:r>
            <w:r w:rsidR="000F78AE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ліквідатора, або уповноваженої особи (далі – заявник)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9A71BA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9A71BA" w:rsidRPr="004E777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6664" w:rsidRPr="004E7774" w:rsidRDefault="001F5286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</w:t>
            </w:r>
            <w:r w:rsidR="00B66664" w:rsidRPr="004E7774">
              <w:rPr>
                <w:sz w:val="24"/>
                <w:szCs w:val="24"/>
                <w:lang w:eastAsia="uk-UA"/>
              </w:rPr>
              <w:t>аява про державну реєстрацію припинення юридичної особи в результаті її реорганізації;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розподільчого балансу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передавального акта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перетворення, злиття або приєднання</w:t>
            </w:r>
            <w:r w:rsidR="00E6709B">
              <w:rPr>
                <w:sz w:val="24"/>
                <w:szCs w:val="24"/>
                <w:lang w:eastAsia="uk-UA"/>
              </w:rPr>
              <w:t xml:space="preserve"> (підписи членів комісії завірені нотаріально)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довідка архівної установи про прийняття документів, що відповідно до закону підлягають довгостроковому зберіганню,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поділу, злиття або приєднання;</w:t>
            </w:r>
          </w:p>
          <w:p w:rsidR="00B66664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створення юридичної особи, визначені частиною першою статті</w:t>
            </w:r>
            <w:r w:rsidR="00910543" w:rsidRPr="004E7774">
              <w:rPr>
                <w:sz w:val="24"/>
                <w:szCs w:val="24"/>
                <w:lang w:eastAsia="uk-UA"/>
              </w:rPr>
              <w:t xml:space="preserve">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перетворення;</w:t>
            </w:r>
          </w:p>
          <w:p w:rsidR="004F17BA" w:rsidRPr="004E7774" w:rsidRDefault="00B66664" w:rsidP="00B66664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змін до відомостей про юридичну особу, що містяться в Єдиному державному реєстрі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 xml:space="preserve">, визначені частиною четвертою </w:t>
            </w:r>
            <w:r w:rsidR="00910543" w:rsidRPr="004E7774">
              <w:rPr>
                <w:sz w:val="24"/>
                <w:szCs w:val="24"/>
                <w:lang w:eastAsia="uk-UA"/>
              </w:rPr>
              <w:t>статті 17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Закон</w:t>
            </w:r>
            <w:r w:rsidR="000F78AE" w:rsidRPr="004E7774">
              <w:rPr>
                <w:sz w:val="24"/>
                <w:szCs w:val="24"/>
                <w:lang w:eastAsia="uk-UA"/>
              </w:rPr>
              <w:t>у</w:t>
            </w:r>
            <w:r w:rsidR="001F5286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 xml:space="preserve">, </w:t>
            </w:r>
            <w:r w:rsidR="000F78AE" w:rsidRPr="004E7774">
              <w:rPr>
                <w:sz w:val="24"/>
                <w:szCs w:val="24"/>
                <w:lang w:eastAsia="uk-UA"/>
              </w:rPr>
              <w:t>–</w:t>
            </w:r>
            <w:r w:rsidRPr="004E7774">
              <w:rPr>
                <w:sz w:val="24"/>
                <w:szCs w:val="24"/>
                <w:lang w:eastAsia="uk-UA"/>
              </w:rPr>
              <w:t xml:space="preserve"> у разі припинення юридичної особи в результаті приєднання.</w:t>
            </w:r>
          </w:p>
          <w:p w:rsidR="000F78AE" w:rsidRPr="004E7774" w:rsidRDefault="002C2B45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Державна реєстрація при реорганізації органів місцевого самоврядування як юридичних осіб після добровільного об’єднання територіальних громад здійснюється з урахуванням особливостей, передбачених </w:t>
            </w:r>
            <w:hyperlink r:id="rId6" w:tgtFrame="_blank" w:history="1">
              <w:r w:rsidRPr="004E7774">
                <w:rPr>
                  <w:sz w:val="24"/>
                  <w:szCs w:val="24"/>
                  <w:lang w:eastAsia="uk-UA"/>
                </w:rPr>
                <w:t>Законом України</w:t>
              </w:r>
            </w:hyperlink>
            <w:r w:rsidR="000F78AE" w:rsidRPr="004E7774">
              <w:rPr>
                <w:sz w:val="24"/>
                <w:szCs w:val="24"/>
                <w:lang w:eastAsia="uk-UA"/>
              </w:rPr>
              <w:t xml:space="preserve"> «</w:t>
            </w:r>
            <w:r w:rsidRPr="004E7774">
              <w:rPr>
                <w:sz w:val="24"/>
                <w:szCs w:val="24"/>
                <w:lang w:eastAsia="uk-UA"/>
              </w:rPr>
              <w:t>Про добровільне о</w:t>
            </w:r>
            <w:r w:rsidR="000F78AE" w:rsidRPr="004E7774">
              <w:rPr>
                <w:sz w:val="24"/>
                <w:szCs w:val="24"/>
                <w:lang w:eastAsia="uk-UA"/>
              </w:rPr>
              <w:t>б’єднання територіальних громад»</w:t>
            </w:r>
            <w:r w:rsidRPr="004E7774">
              <w:rPr>
                <w:sz w:val="24"/>
                <w:szCs w:val="24"/>
                <w:lang w:eastAsia="uk-UA"/>
              </w:rPr>
              <w:t>.</w:t>
            </w:r>
          </w:p>
          <w:p w:rsidR="009A71BA" w:rsidRPr="004E7774" w:rsidRDefault="009A71BA" w:rsidP="009A71BA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F03E60" w:rsidRPr="004E7774" w:rsidRDefault="009A71BA" w:rsidP="00910543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FE1C03" w:rsidRPr="004E7774">
              <w:rPr>
                <w:sz w:val="24"/>
                <w:szCs w:val="24"/>
                <w:lang w:eastAsia="uk-UA"/>
              </w:rPr>
              <w:t>,</w:t>
            </w:r>
            <w:r w:rsidRPr="004E7774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FE1C03" w:rsidRPr="004E7774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 xml:space="preserve">1. </w:t>
            </w:r>
            <w:r w:rsidR="00FE1C03" w:rsidRPr="004E7774">
              <w:rPr>
                <w:sz w:val="24"/>
                <w:szCs w:val="24"/>
              </w:rPr>
              <w:t>У</w:t>
            </w:r>
            <w:r w:rsidRPr="004E7774">
              <w:rPr>
                <w:sz w:val="24"/>
                <w:szCs w:val="24"/>
              </w:rPr>
              <w:t xml:space="preserve"> паперовій формі </w:t>
            </w:r>
            <w:r w:rsidR="005316A9" w:rsidRPr="004E7774">
              <w:rPr>
                <w:sz w:val="24"/>
                <w:szCs w:val="24"/>
              </w:rPr>
              <w:t xml:space="preserve">документи </w:t>
            </w:r>
            <w:r w:rsidRPr="004E7774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E7774" w:rsidRDefault="00F03E60" w:rsidP="00FE1C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 xml:space="preserve">2. </w:t>
            </w:r>
            <w:r w:rsidR="00DC2A9F" w:rsidRPr="004E7774">
              <w:rPr>
                <w:sz w:val="24"/>
                <w:szCs w:val="24"/>
              </w:rPr>
              <w:t>В</w:t>
            </w:r>
            <w:r w:rsidRPr="004E7774">
              <w:rPr>
                <w:sz w:val="24"/>
                <w:szCs w:val="24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E7774">
              <w:rPr>
                <w:sz w:val="24"/>
                <w:szCs w:val="24"/>
                <w:lang w:eastAsia="uk-UA"/>
              </w:rPr>
              <w:t>д</w:t>
            </w:r>
            <w:r w:rsidR="00DC2A9F" w:rsidRPr="004E7774">
              <w:rPr>
                <w:sz w:val="24"/>
                <w:szCs w:val="24"/>
              </w:rPr>
              <w:t>окументи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</w:t>
            </w:r>
            <w:r w:rsidRPr="004E7774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E7774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</w:t>
            </w:r>
            <w:r w:rsidRPr="004E7774">
              <w:rPr>
                <w:sz w:val="24"/>
                <w:szCs w:val="24"/>
                <w:lang w:eastAsia="uk-UA"/>
              </w:rPr>
              <w:lastRenderedPageBreak/>
              <w:t>реєстрації протягом 24 годин після надходження документів, крім вихідних та святкових днів.</w:t>
            </w:r>
          </w:p>
          <w:p w:rsidR="008E0E18" w:rsidRPr="004E7774" w:rsidRDefault="008E0E1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E7774" w:rsidRDefault="00F03E60" w:rsidP="00D73D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FE1C03" w:rsidRPr="004E7774">
              <w:rPr>
                <w:sz w:val="24"/>
                <w:szCs w:val="24"/>
                <w:lang w:eastAsia="uk-UA"/>
              </w:rPr>
              <w:t>ендарних днів з дати їх подання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E1C03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E7774" w:rsidRDefault="001F52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4E7774">
              <w:rPr>
                <w:sz w:val="24"/>
                <w:szCs w:val="24"/>
                <w:lang w:eastAsia="uk-UA"/>
              </w:rPr>
              <w:t>П</w:t>
            </w:r>
            <w:r w:rsidR="0052271C" w:rsidRPr="004E7774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E7774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E7774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52271C" w:rsidRPr="004E7774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DC2A9F" w:rsidRPr="004E777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4E7774">
              <w:rPr>
                <w:sz w:val="24"/>
                <w:szCs w:val="24"/>
                <w:lang w:eastAsia="uk-UA"/>
              </w:rPr>
              <w:t>;</w:t>
            </w:r>
          </w:p>
          <w:p w:rsidR="00F03E60" w:rsidRPr="004E7774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E7774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FE1C03" w:rsidRPr="004E7774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FE1C03" w:rsidRPr="004E7774">
              <w:rPr>
                <w:sz w:val="24"/>
                <w:szCs w:val="24"/>
                <w:lang w:eastAsia="uk-UA"/>
              </w:rPr>
              <w:t>й</w:t>
            </w:r>
            <w:r w:rsidRPr="004E7774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1F5286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</w:t>
            </w:r>
            <w:r w:rsidR="00F03E60" w:rsidRPr="004E7774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4E7774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E7774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4E7774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4E7774" w:rsidRDefault="00F03E60" w:rsidP="0049549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738"/>
            <w:bookmarkStart w:id="7" w:name="n739"/>
            <w:bookmarkEnd w:id="6"/>
            <w:bookmarkEnd w:id="7"/>
            <w:r w:rsidRPr="004E7774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4E7774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49549C" w:rsidRPr="004E7774" w:rsidRDefault="000F78AE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9" w:name="n741"/>
            <w:bookmarkStart w:id="10" w:name="n742"/>
            <w:bookmarkEnd w:id="9"/>
            <w:bookmarkEnd w:id="10"/>
            <w:r w:rsidRPr="004E7774">
              <w:rPr>
                <w:sz w:val="24"/>
                <w:szCs w:val="24"/>
                <w:lang w:eastAsia="uk-UA"/>
              </w:rPr>
              <w:t>у</w:t>
            </w:r>
            <w:r w:rsidR="0049549C" w:rsidRPr="004E7774">
              <w:rPr>
                <w:sz w:val="24"/>
                <w:szCs w:val="24"/>
                <w:lang w:eastAsia="uk-UA"/>
              </w:rPr>
              <w:t xml:space="preserve"> Єдиному державному реєстрі юридичних осіб, фізичних осіб та громадських формувань відсутній запис про державну реєстрацію юридичної особи, утвореної шляхом реорганізації в результаті злиття, приєднання, поділу або перетворення;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1" w:name="n743"/>
            <w:bookmarkEnd w:id="11"/>
            <w:r w:rsidRPr="004E7774">
              <w:rPr>
                <w:sz w:val="24"/>
                <w:szCs w:val="24"/>
                <w:lang w:eastAsia="uk-UA"/>
              </w:rPr>
              <w:t>щодо акціонерного товариства, стосовно якого надійшли відомості про наявність нескасованої реєстрації випуску акцій;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2" w:name="n744"/>
            <w:bookmarkEnd w:id="12"/>
            <w:r w:rsidRPr="004E7774">
              <w:rPr>
                <w:sz w:val="24"/>
                <w:szCs w:val="24"/>
                <w:lang w:eastAsia="uk-UA"/>
              </w:rPr>
              <w:t>щодо юридичної особи – емітента цінних паперів, стосовно яко</w:t>
            </w:r>
            <w:r w:rsidR="000F78AE" w:rsidRPr="004E7774">
              <w:rPr>
                <w:sz w:val="24"/>
                <w:szCs w:val="24"/>
                <w:lang w:eastAsia="uk-UA"/>
              </w:rPr>
              <w:t>ї</w:t>
            </w:r>
            <w:r w:rsidRPr="004E7774">
              <w:rPr>
                <w:sz w:val="24"/>
                <w:szCs w:val="24"/>
                <w:lang w:eastAsia="uk-UA"/>
              </w:rPr>
              <w:t xml:space="preserve"> надійшли відомості про наявність нескасованих випусків цінних паперів;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3" w:name="n745"/>
            <w:bookmarkStart w:id="14" w:name="n746"/>
            <w:bookmarkEnd w:id="13"/>
            <w:bookmarkEnd w:id="14"/>
            <w:r w:rsidRPr="004E7774">
              <w:rPr>
                <w:sz w:val="24"/>
                <w:szCs w:val="24"/>
                <w:lang w:eastAsia="uk-UA"/>
              </w:rPr>
              <w:t xml:space="preserve">щодо юридичної особи, що реорганізується, стосовно якої </w:t>
            </w:r>
            <w:r w:rsidRPr="004E7774">
              <w:rPr>
                <w:sz w:val="24"/>
                <w:szCs w:val="24"/>
                <w:lang w:eastAsia="uk-UA"/>
              </w:rPr>
              <w:lastRenderedPageBreak/>
              <w:t xml:space="preserve">надійшли відомості про наявність заборгованості із сплати податків і зборів та/або </w:t>
            </w:r>
            <w:r w:rsidR="000F78AE" w:rsidRPr="004E7774">
              <w:rPr>
                <w:sz w:val="24"/>
                <w:szCs w:val="24"/>
                <w:lang w:eastAsia="uk-UA"/>
              </w:rPr>
              <w:t xml:space="preserve">про </w:t>
            </w:r>
            <w:r w:rsidRPr="004E7774">
              <w:rPr>
                <w:sz w:val="24"/>
                <w:szCs w:val="24"/>
                <w:lang w:eastAsia="uk-UA"/>
              </w:rPr>
              <w:t>наявність заборгованості із сплати єдиного внеску на загальнообов’язкове державне соціальне страхування та відсутній узгоджений план реорганізації юридичної особи;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5" w:name="n747"/>
            <w:bookmarkEnd w:id="15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49549C" w:rsidRPr="004E7774" w:rsidRDefault="0049549C" w:rsidP="0049549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6" w:name="n748"/>
            <w:bookmarkEnd w:id="16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провадження;</w:t>
            </w:r>
          </w:p>
          <w:p w:rsidR="00F03E60" w:rsidRPr="004E7774" w:rsidRDefault="0049549C" w:rsidP="00285187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17" w:name="n749"/>
            <w:bookmarkEnd w:id="17"/>
            <w:r w:rsidRPr="004E7774">
              <w:rPr>
                <w:sz w:val="24"/>
                <w:szCs w:val="24"/>
                <w:lang w:eastAsia="uk-UA"/>
              </w:rPr>
              <w:t>щодо юридичної особи, стосовно якої відкрито прова</w:t>
            </w:r>
            <w:r w:rsidR="00FE1C03" w:rsidRPr="004E7774">
              <w:rPr>
                <w:sz w:val="24"/>
                <w:szCs w:val="24"/>
                <w:lang w:eastAsia="uk-UA"/>
              </w:rPr>
              <w:t>дження у справі про банкрутство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71BA" w:rsidRPr="004E7774" w:rsidRDefault="001F5286" w:rsidP="009A71B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8" w:name="o638"/>
            <w:bookmarkEnd w:id="18"/>
            <w:r w:rsidRPr="004E7774">
              <w:rPr>
                <w:sz w:val="24"/>
                <w:szCs w:val="24"/>
              </w:rPr>
              <w:t>В</w:t>
            </w:r>
            <w:r w:rsidR="009A71BA" w:rsidRPr="004E7774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F03E60" w:rsidRPr="004E7774" w:rsidRDefault="009A71BA" w:rsidP="0091054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E1C03" w:rsidRPr="004E7774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4E7774" w:rsidRPr="004E7774" w:rsidTr="004E7774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FE1C03">
            <w:pPr>
              <w:jc w:val="center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E7774" w:rsidRDefault="00F03E60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E7774">
              <w:rPr>
                <w:sz w:val="24"/>
                <w:szCs w:val="24"/>
              </w:rPr>
              <w:t>Р</w:t>
            </w:r>
            <w:r w:rsidR="001F5286" w:rsidRPr="004E7774">
              <w:rPr>
                <w:sz w:val="24"/>
                <w:szCs w:val="24"/>
              </w:rPr>
              <w:t xml:space="preserve">езультати надання адміністративної </w:t>
            </w:r>
            <w:r w:rsidRPr="004E7774">
              <w:rPr>
                <w:sz w:val="24"/>
                <w:szCs w:val="24"/>
              </w:rPr>
              <w:t>послуг</w:t>
            </w:r>
            <w:r w:rsidR="001F5286" w:rsidRPr="004E7774">
              <w:rPr>
                <w:sz w:val="24"/>
                <w:szCs w:val="24"/>
              </w:rPr>
              <w:t>и</w:t>
            </w:r>
            <w:r w:rsidRPr="004E7774">
              <w:rPr>
                <w:sz w:val="24"/>
                <w:szCs w:val="24"/>
              </w:rPr>
              <w:t xml:space="preserve"> у сфері державної реєстрації оприлюднюються на порталі електронних сервісів</w:t>
            </w:r>
            <w:r w:rsidR="009A71BA" w:rsidRPr="004E7774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8E0E18" w:rsidRPr="004E7774">
              <w:rPr>
                <w:sz w:val="24"/>
                <w:szCs w:val="24"/>
              </w:rPr>
              <w:t>.</w:t>
            </w:r>
          </w:p>
          <w:p w:rsidR="008E0E18" w:rsidRPr="004E7774" w:rsidRDefault="008E0E18" w:rsidP="001F528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E7774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F03E60" w:rsidRPr="004E7774" w:rsidRDefault="00F03E60" w:rsidP="00F03E60">
      <w:pPr>
        <w:jc w:val="right"/>
        <w:rPr>
          <w:sz w:val="24"/>
          <w:szCs w:val="24"/>
        </w:rPr>
      </w:pPr>
      <w:bookmarkStart w:id="19" w:name="n43"/>
      <w:bookmarkEnd w:id="19"/>
    </w:p>
    <w:p w:rsidR="00DD003D" w:rsidRDefault="00DD003D"/>
    <w:p w:rsidR="004E7774" w:rsidRPr="004E7774" w:rsidRDefault="004E7774"/>
    <w:tbl>
      <w:tblPr>
        <w:tblStyle w:val="a6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368"/>
        <w:gridCol w:w="2869"/>
      </w:tblGrid>
      <w:tr w:rsidR="005C7037" w:rsidRPr="004E7774" w:rsidTr="009538E4">
        <w:tc>
          <w:tcPr>
            <w:tcW w:w="3544" w:type="dxa"/>
            <w:hideMark/>
          </w:tcPr>
          <w:p w:rsidR="005C7037" w:rsidRPr="00E6709B" w:rsidRDefault="005C7037" w:rsidP="00E6709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p w:rsidR="005C7037" w:rsidRPr="004E7774" w:rsidRDefault="005C7037">
            <w:pPr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2869" w:type="dxa"/>
            <w:hideMark/>
          </w:tcPr>
          <w:p w:rsidR="000F78AE" w:rsidRPr="004E7774" w:rsidRDefault="000F78AE">
            <w:pPr>
              <w:jc w:val="right"/>
              <w:rPr>
                <w:b/>
                <w:sz w:val="26"/>
                <w:szCs w:val="26"/>
              </w:rPr>
            </w:pPr>
          </w:p>
          <w:p w:rsidR="005C7037" w:rsidRPr="004E7774" w:rsidRDefault="005C7037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C7037" w:rsidRPr="004E7774" w:rsidRDefault="005C7037"/>
    <w:sectPr w:rsidR="005C7037" w:rsidRPr="004E7774" w:rsidSect="00F15792">
      <w:headerReference w:type="default" r:id="rId7"/>
      <w:pgSz w:w="11906" w:h="16838"/>
      <w:pgMar w:top="709" w:right="850" w:bottom="850" w:left="1417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A5" w:rsidRDefault="000064A5">
      <w:r>
        <w:separator/>
      </w:r>
    </w:p>
  </w:endnote>
  <w:endnote w:type="continuationSeparator" w:id="0">
    <w:p w:rsidR="000064A5" w:rsidRDefault="0000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A5" w:rsidRDefault="000064A5">
      <w:r>
        <w:separator/>
      </w:r>
    </w:p>
  </w:footnote>
  <w:footnote w:type="continuationSeparator" w:id="0">
    <w:p w:rsidR="000064A5" w:rsidRDefault="00006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4E7774" w:rsidRDefault="00010AF8">
    <w:pPr>
      <w:pStyle w:val="a4"/>
      <w:jc w:val="center"/>
      <w:rPr>
        <w:sz w:val="24"/>
        <w:szCs w:val="24"/>
      </w:rPr>
    </w:pPr>
    <w:r w:rsidRPr="004E7774">
      <w:rPr>
        <w:sz w:val="24"/>
        <w:szCs w:val="24"/>
      </w:rPr>
      <w:fldChar w:fldCharType="begin"/>
    </w:r>
    <w:r w:rsidRPr="004E7774">
      <w:rPr>
        <w:sz w:val="24"/>
        <w:szCs w:val="24"/>
      </w:rPr>
      <w:instrText>PAGE   \* MERGEFORMAT</w:instrText>
    </w:r>
    <w:r w:rsidRPr="004E7774">
      <w:rPr>
        <w:sz w:val="24"/>
        <w:szCs w:val="24"/>
      </w:rPr>
      <w:fldChar w:fldCharType="separate"/>
    </w:r>
    <w:r w:rsidR="0012750E" w:rsidRPr="0012750E">
      <w:rPr>
        <w:noProof/>
        <w:sz w:val="24"/>
        <w:szCs w:val="24"/>
        <w:lang w:val="ru-RU"/>
      </w:rPr>
      <w:t>2</w:t>
    </w:r>
    <w:r w:rsidRPr="004E7774">
      <w:rPr>
        <w:sz w:val="24"/>
        <w:szCs w:val="24"/>
      </w:rPr>
      <w:fldChar w:fldCharType="end"/>
    </w:r>
  </w:p>
  <w:p w:rsidR="000E1FD6" w:rsidRDefault="000064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064A5"/>
    <w:rsid w:val="00010AF8"/>
    <w:rsid w:val="00036A10"/>
    <w:rsid w:val="00041711"/>
    <w:rsid w:val="000F78AE"/>
    <w:rsid w:val="00126099"/>
    <w:rsid w:val="0012750E"/>
    <w:rsid w:val="001F5286"/>
    <w:rsid w:val="00267B8D"/>
    <w:rsid w:val="00285187"/>
    <w:rsid w:val="0029245E"/>
    <w:rsid w:val="002B11B4"/>
    <w:rsid w:val="002C2B45"/>
    <w:rsid w:val="003336C9"/>
    <w:rsid w:val="00334A50"/>
    <w:rsid w:val="0035103F"/>
    <w:rsid w:val="003A3C42"/>
    <w:rsid w:val="0049549C"/>
    <w:rsid w:val="004E7774"/>
    <w:rsid w:val="004F17BA"/>
    <w:rsid w:val="0052271C"/>
    <w:rsid w:val="005316A9"/>
    <w:rsid w:val="005B6128"/>
    <w:rsid w:val="005C7037"/>
    <w:rsid w:val="005E129C"/>
    <w:rsid w:val="005F1213"/>
    <w:rsid w:val="006A4FF8"/>
    <w:rsid w:val="00781802"/>
    <w:rsid w:val="007D7A23"/>
    <w:rsid w:val="008A73C9"/>
    <w:rsid w:val="008C3BEC"/>
    <w:rsid w:val="008E0E18"/>
    <w:rsid w:val="00910543"/>
    <w:rsid w:val="00924593"/>
    <w:rsid w:val="009538E4"/>
    <w:rsid w:val="00985A78"/>
    <w:rsid w:val="009A71BA"/>
    <w:rsid w:val="00A942EE"/>
    <w:rsid w:val="00B22FA0"/>
    <w:rsid w:val="00B43192"/>
    <w:rsid w:val="00B54254"/>
    <w:rsid w:val="00B66664"/>
    <w:rsid w:val="00B85F8B"/>
    <w:rsid w:val="00BA17E0"/>
    <w:rsid w:val="00BB06FD"/>
    <w:rsid w:val="00C227A3"/>
    <w:rsid w:val="00C719E3"/>
    <w:rsid w:val="00C902E8"/>
    <w:rsid w:val="00D7737E"/>
    <w:rsid w:val="00DC2A9F"/>
    <w:rsid w:val="00DD003D"/>
    <w:rsid w:val="00E50C24"/>
    <w:rsid w:val="00E6709B"/>
    <w:rsid w:val="00EA74EB"/>
    <w:rsid w:val="00EC19D5"/>
    <w:rsid w:val="00F03964"/>
    <w:rsid w:val="00F03E60"/>
    <w:rsid w:val="00F15792"/>
    <w:rsid w:val="00F343B7"/>
    <w:rsid w:val="00F53FC4"/>
    <w:rsid w:val="00FC4CD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8B510-85DA-484F-A3D2-A015257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5C7037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E777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777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57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39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4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3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9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7-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Малинковська Олена</cp:lastModifiedBy>
  <cp:revision>2</cp:revision>
  <cp:lastPrinted>2016-07-12T12:44:00Z</cp:lastPrinted>
  <dcterms:created xsi:type="dcterms:W3CDTF">2017-02-06T15:12:00Z</dcterms:created>
  <dcterms:modified xsi:type="dcterms:W3CDTF">2017-02-06T15:12:00Z</dcterms:modified>
</cp:coreProperties>
</file>